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82" w:rsidRPr="00721A82" w:rsidRDefault="00721A82" w:rsidP="00721A82">
      <w:pPr>
        <w:jc w:val="center"/>
        <w:rPr>
          <w:rFonts w:ascii="Times New Roman" w:hAnsi="Times New Roman" w:cs="Times New Roman"/>
          <w:b/>
          <w:bCs/>
          <w:sz w:val="24"/>
          <w:szCs w:val="24"/>
        </w:rPr>
      </w:pPr>
      <w:bookmarkStart w:id="0" w:name="_GoBack"/>
      <w:bookmarkEnd w:id="0"/>
      <w:r w:rsidRPr="00721A82">
        <w:rPr>
          <w:rFonts w:ascii="Times New Roman" w:hAnsi="Times New Roman" w:cs="Times New Roman"/>
          <w:b/>
          <w:bCs/>
          <w:sz w:val="24"/>
          <w:szCs w:val="24"/>
        </w:rPr>
        <w:t xml:space="preserve">Technical Reference </w:t>
      </w:r>
      <w:r w:rsidR="00AD1848">
        <w:rPr>
          <w:rFonts w:ascii="Times New Roman" w:hAnsi="Times New Roman" w:cs="Times New Roman"/>
          <w:b/>
          <w:bCs/>
          <w:sz w:val="24"/>
          <w:szCs w:val="24"/>
        </w:rPr>
        <w:t>Material</w:t>
      </w:r>
      <w:r w:rsidRPr="00721A82">
        <w:rPr>
          <w:rFonts w:ascii="Times New Roman" w:hAnsi="Times New Roman" w:cs="Times New Roman"/>
          <w:b/>
          <w:bCs/>
          <w:sz w:val="24"/>
          <w:szCs w:val="24"/>
        </w:rPr>
        <w:t xml:space="preserve"> on Indian Standard for Food Serving Utensils Made from Agri By-Products (IS 18267:2024)</w: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1. Introduction</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Indian Standard IS 18267:2024 specifies the requirements for food serving utensils made from agricultural by-products. These utensils are meant for single-use only and offer an eco-friendly alternative to conventional plastic and synthetic products. The standard is intended to ensure that these utensils meet specific manufacturing, performance, and hygiene criteria for safe and effective use in serving food. The standard covers the raw materials, manufacturing processes, dimensions, performance requirements, and packaging details.</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2. Scope and Application</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primary scope of IS 18267:2024 is to outline the necessary specifications for food serving utensils made from agri by-products. These include plates, bowls, cups, and other serving tools produced from agricultural materials such as plant leaves, sheaths, and bagasse. The standard provides a comprehensive approach to ensure that such products are safe, functional, and environmentally sustainable for single-use applications.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It includes the manufacturing process, types of acceptable raw materials, and performance benchmarks, such as strength, moisture content, and microbial load, to guarantee the usability and safety of the products.</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3. Raw Materials and Manufacturing Process</w: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3.1 Raw Materials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raw materials used for manufacturing these utensils include agricultural by-products derived from plant materials. These materials are generally cellulose-based and include leaves, sheaths, and other biodegradable substances from plants. Some commonly used materials listed in the standard include:</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 xml:space="preserve">Butea </w:t>
      </w:r>
      <w:proofErr w:type="spellStart"/>
      <w:r w:rsidRPr="00721A82">
        <w:rPr>
          <w:rFonts w:ascii="Times New Roman" w:hAnsi="Times New Roman" w:cs="Times New Roman"/>
          <w:sz w:val="24"/>
          <w:szCs w:val="24"/>
        </w:rPr>
        <w:t>monosperma</w:t>
      </w:r>
      <w:proofErr w:type="spellEnd"/>
      <w:r w:rsidRPr="00721A82">
        <w:rPr>
          <w:rFonts w:ascii="Times New Roman" w:hAnsi="Times New Roman" w:cs="Times New Roman"/>
          <w:sz w:val="24"/>
          <w:szCs w:val="24"/>
        </w:rPr>
        <w:t xml:space="preserve"> (Flame of forest) leaves</w:t>
      </w:r>
    </w:p>
    <w:p w:rsidR="00721A82" w:rsidRPr="00721A82" w:rsidRDefault="00721A82" w:rsidP="00721A82">
      <w:pPr>
        <w:jc w:val="both"/>
        <w:rPr>
          <w:rFonts w:ascii="Times New Roman" w:hAnsi="Times New Roman" w:cs="Times New Roman"/>
          <w:sz w:val="24"/>
          <w:szCs w:val="24"/>
        </w:rPr>
      </w:pPr>
      <w:proofErr w:type="spellStart"/>
      <w:r w:rsidRPr="00721A82">
        <w:rPr>
          <w:rFonts w:ascii="Times New Roman" w:hAnsi="Times New Roman" w:cs="Times New Roman"/>
          <w:sz w:val="24"/>
          <w:szCs w:val="24"/>
        </w:rPr>
        <w:t>Tectona</w:t>
      </w:r>
      <w:proofErr w:type="spellEnd"/>
      <w:r w:rsidRPr="00721A82">
        <w:rPr>
          <w:rFonts w:ascii="Times New Roman" w:hAnsi="Times New Roman" w:cs="Times New Roman"/>
          <w:sz w:val="24"/>
          <w:szCs w:val="24"/>
        </w:rPr>
        <w:t xml:space="preserve"> </w:t>
      </w:r>
      <w:proofErr w:type="spellStart"/>
      <w:r w:rsidRPr="00721A82">
        <w:rPr>
          <w:rFonts w:ascii="Times New Roman" w:hAnsi="Times New Roman" w:cs="Times New Roman"/>
          <w:sz w:val="24"/>
          <w:szCs w:val="24"/>
        </w:rPr>
        <w:t>grandis</w:t>
      </w:r>
      <w:proofErr w:type="spellEnd"/>
      <w:r w:rsidRPr="00721A82">
        <w:rPr>
          <w:rFonts w:ascii="Times New Roman" w:hAnsi="Times New Roman" w:cs="Times New Roman"/>
          <w:sz w:val="24"/>
          <w:szCs w:val="24"/>
        </w:rPr>
        <w:t xml:space="preserve"> (Teak) leaves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Musa spp. (Banana) leaves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Areca catechu (Areca nut) sheaths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Bagasse pulp (Sugarcane waste)</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These materials are typically processed through stitching, cold/hot pressing, or moulding techniques, depending on the characteristics of the raw material.</w: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3.2 Manufacturing Process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manufacturing process outlined in IS 18267 involves various methods for shaping and joining the raw materials. The most common processes include:</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lastRenderedPageBreak/>
        <w:t>Cold and hot pressing: Leaves and sheaths are shaped using manual or machine presses. This process ensures that the final product maintains its structural integrity without compromising on strength.</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Stitching: For larger products like plates and bowls, stitching may be used to join the raw materials together, ensuring durability.</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Moulding: In the case of materials like bagasse pulp, moulding is employed to form the desired shapes of utensils.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These methods aim to create utensils that are sturdy, functional, and free from contaminants.</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4. General Requirements for Utensils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standard establishes several criteria for the quality and safety of food serving utensils: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 xml:space="preserve">Material purity: Only agricultural by-products should be used in the production of the utensils, with no synthetic chemicals, </w:t>
      </w:r>
      <w:proofErr w:type="spellStart"/>
      <w:r w:rsidRPr="00721A82">
        <w:rPr>
          <w:rFonts w:ascii="Times New Roman" w:hAnsi="Times New Roman" w:cs="Times New Roman"/>
          <w:sz w:val="24"/>
          <w:szCs w:val="24"/>
        </w:rPr>
        <w:t>colors</w:t>
      </w:r>
      <w:proofErr w:type="spellEnd"/>
      <w:r w:rsidRPr="00721A82">
        <w:rPr>
          <w:rFonts w:ascii="Times New Roman" w:hAnsi="Times New Roman" w:cs="Times New Roman"/>
          <w:sz w:val="24"/>
          <w:szCs w:val="24"/>
        </w:rPr>
        <w:t>, or adhesives involved in the manufacturing process.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Cleanliness: Utensils must be clean, well-dried, and free from dirt, dust, or foreign materials.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Smooth surfaces: The utensils should have smooth surfaces without any defects like dents or cracks that could lead to leakage or contamination of food.</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Non-sharp edges: The edges of the utensils should be smooth and not sharp to avoid injury during handling.</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standard stresses that the utensils should be free from insect damage, microbial contamination, and physical defects, ensuring that the product is safe for use in food handling.</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5. Performance Requirements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IS 18267 specifies various performance tests to ensure the structural and functional quality of the utensils. These tests include:</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Dimensional tolerance: The utensils should conform to specific size tolerances, with allowances ranging from 3% for sizes up to 30 mm to 1% for sizes greater than 200 mm.</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Moisture content: The moisture content of the utensils should not exceed 10% on a dry basis, and their moisture absorption should be limited to 5% when immersed in water for 10 minutes.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Microbial testing: The utensils must pass a microbial load test, ensuring no more than 5 colony-forming units (CFUs) per cm² on their surfaces when incubated at 30°C for 72 hours.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Load-bearing strength: Utensils like bowls and food boxes must withstand a load-bearing test, with an allowable reduction in height of no more than 5% under the specified load conditions.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Drop test: Utensils should not develop cracks or splits when dropped from a height of 0.8 m onto a concrete surface.</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Leakage test: For containers holding liquids or semi-liquids, no leakage should occur during water leakage testing.</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lastRenderedPageBreak/>
        <w:t>These stringent performance requirements are crucial to ensure that the utensils can withstand the stresses of regular use without breaking or leaking.</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6. Hygiene and Packaging Requirements</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Hygiene is an essential aspect of food safety. The standard emphasizes the importance of manufacturing the utensils under hygienic conditions as per IS 2491. The utensils must be kept clean and free from any contaminants that could affect food safety.</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Packaging: The utensils should be packaged in quantities that suit market demands, typically in packs of 10, 20, 25, or 50 units. Each package must carry a sticker providing essential product information such as the manufacturer's name, product type, batch number, size, date of manufacture, and usage instructions (e.g., "For single use only").</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The packaging must also ensure that the utensils are protected from moisture and environmental damage during storage and transportation.</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30"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7. Marking and Certification</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Utensils conforming to the standard may be marked with the Bureau of Indian Standards (BIS) certification mark, indicating that they meet the specified quality and safety requirements. This certification ensures that the product is legally compliant and of acceptable quality, which is essential for both domestic and international trade.</w:t>
      </w:r>
    </w:p>
    <w:p w:rsidR="00721A82" w:rsidRPr="00721A82" w:rsidRDefault="00537CAE" w:rsidP="00721A82">
      <w:pPr>
        <w:jc w:val="both"/>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t" fillcolor="#a0a0a0" stroked="f"/>
        </w:pict>
      </w:r>
    </w:p>
    <w:p w:rsidR="00721A82" w:rsidRPr="00721A82" w:rsidRDefault="00721A82" w:rsidP="00721A82">
      <w:pPr>
        <w:jc w:val="both"/>
        <w:rPr>
          <w:rFonts w:ascii="Times New Roman" w:hAnsi="Times New Roman" w:cs="Times New Roman"/>
          <w:b/>
          <w:bCs/>
          <w:color w:val="C45911" w:themeColor="accent2" w:themeShade="BF"/>
          <w:sz w:val="24"/>
          <w:szCs w:val="24"/>
        </w:rPr>
      </w:pPr>
      <w:r w:rsidRPr="00721A82">
        <w:rPr>
          <w:rFonts w:ascii="Times New Roman" w:hAnsi="Times New Roman" w:cs="Times New Roman"/>
          <w:b/>
          <w:bCs/>
          <w:color w:val="C45911" w:themeColor="accent2" w:themeShade="BF"/>
          <w:sz w:val="24"/>
          <w:szCs w:val="24"/>
        </w:rPr>
        <w:t>8. Conclusion</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IS 18267:2024 sets a clear and comprehensive framework for the production of food serving utensils made from agricultural by-products. By specifying stringent guidelines for raw materials, manufacturing processes, performance criteria, and hygiene standards, the standard ensures that these eco-friendly utensils are safe, durable, and suitable for single-use applications. With increasing concerns about plastic waste, this standard offers a sustainable alternative by promoting the use of biodegradable, plant-based materials in the food service industry.</w:t>
      </w:r>
    </w:p>
    <w:p w:rsidR="00721A82" w:rsidRPr="00721A82" w:rsidRDefault="00721A82" w:rsidP="00721A82">
      <w:pPr>
        <w:jc w:val="both"/>
        <w:rPr>
          <w:rFonts w:ascii="Times New Roman" w:hAnsi="Times New Roman" w:cs="Times New Roman"/>
          <w:sz w:val="24"/>
          <w:szCs w:val="24"/>
        </w:rPr>
      </w:pPr>
      <w:r w:rsidRPr="00721A82">
        <w:rPr>
          <w:rFonts w:ascii="Times New Roman" w:hAnsi="Times New Roman" w:cs="Times New Roman"/>
          <w:sz w:val="24"/>
          <w:szCs w:val="24"/>
        </w:rPr>
        <w:t>Compliance with these guidelines not only helps protect consumer health but also supports environmental sustainability, offering a promising solution to reduce the ecological footprint of single-use food serving items.</w:t>
      </w:r>
    </w:p>
    <w:p w:rsidR="00DE58BB" w:rsidRPr="00721A82" w:rsidRDefault="00537CAE" w:rsidP="00721A82">
      <w:pPr>
        <w:jc w:val="both"/>
        <w:rPr>
          <w:rFonts w:ascii="Times New Roman" w:hAnsi="Times New Roman" w:cs="Times New Roman"/>
          <w:sz w:val="24"/>
          <w:szCs w:val="24"/>
        </w:rPr>
      </w:pPr>
    </w:p>
    <w:sectPr w:rsidR="00DE58BB" w:rsidRPr="00721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C3CA7"/>
    <w:multiLevelType w:val="multilevel"/>
    <w:tmpl w:val="0DD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A221B"/>
    <w:multiLevelType w:val="multilevel"/>
    <w:tmpl w:val="182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D235F"/>
    <w:multiLevelType w:val="multilevel"/>
    <w:tmpl w:val="401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23360"/>
    <w:multiLevelType w:val="multilevel"/>
    <w:tmpl w:val="2A14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82"/>
    <w:rsid w:val="002B2115"/>
    <w:rsid w:val="00537CAE"/>
    <w:rsid w:val="00721A82"/>
    <w:rsid w:val="00AD1848"/>
    <w:rsid w:val="00CF0513"/>
    <w:rsid w:val="00EC49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EFCEA-0951-46C7-BE7A-94030F5D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21A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721A8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A8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721A8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721A82"/>
    <w:rPr>
      <w:b/>
      <w:bCs/>
    </w:rPr>
  </w:style>
  <w:style w:type="paragraph" w:styleId="NormalWeb">
    <w:name w:val="Normal (Web)"/>
    <w:basedOn w:val="Normal"/>
    <w:uiPriority w:val="99"/>
    <w:semiHidden/>
    <w:unhideWhenUsed/>
    <w:rsid w:val="00721A8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88075">
      <w:bodyDiv w:val="1"/>
      <w:marLeft w:val="0"/>
      <w:marRight w:val="0"/>
      <w:marTop w:val="0"/>
      <w:marBottom w:val="0"/>
      <w:divBdr>
        <w:top w:val="none" w:sz="0" w:space="0" w:color="auto"/>
        <w:left w:val="none" w:sz="0" w:space="0" w:color="auto"/>
        <w:bottom w:val="none" w:sz="0" w:space="0" w:color="auto"/>
        <w:right w:val="none" w:sz="0" w:space="0" w:color="auto"/>
      </w:divBdr>
      <w:divsChild>
        <w:div w:id="1079717615">
          <w:marLeft w:val="0"/>
          <w:marRight w:val="0"/>
          <w:marTop w:val="0"/>
          <w:marBottom w:val="0"/>
          <w:divBdr>
            <w:top w:val="none" w:sz="0" w:space="0" w:color="auto"/>
            <w:left w:val="none" w:sz="0" w:space="0" w:color="auto"/>
            <w:bottom w:val="none" w:sz="0" w:space="0" w:color="auto"/>
            <w:right w:val="none" w:sz="0" w:space="0" w:color="auto"/>
          </w:divBdr>
          <w:divsChild>
            <w:div w:id="146673553">
              <w:marLeft w:val="0"/>
              <w:marRight w:val="0"/>
              <w:marTop w:val="0"/>
              <w:marBottom w:val="0"/>
              <w:divBdr>
                <w:top w:val="none" w:sz="0" w:space="0" w:color="auto"/>
                <w:left w:val="none" w:sz="0" w:space="0" w:color="auto"/>
                <w:bottom w:val="none" w:sz="0" w:space="0" w:color="auto"/>
                <w:right w:val="none" w:sz="0" w:space="0" w:color="auto"/>
              </w:divBdr>
              <w:divsChild>
                <w:div w:id="2028631996">
                  <w:marLeft w:val="0"/>
                  <w:marRight w:val="0"/>
                  <w:marTop w:val="0"/>
                  <w:marBottom w:val="0"/>
                  <w:divBdr>
                    <w:top w:val="none" w:sz="0" w:space="0" w:color="auto"/>
                    <w:left w:val="none" w:sz="0" w:space="0" w:color="auto"/>
                    <w:bottom w:val="none" w:sz="0" w:space="0" w:color="auto"/>
                    <w:right w:val="none" w:sz="0" w:space="0" w:color="auto"/>
                  </w:divBdr>
                  <w:divsChild>
                    <w:div w:id="941230087">
                      <w:marLeft w:val="0"/>
                      <w:marRight w:val="0"/>
                      <w:marTop w:val="0"/>
                      <w:marBottom w:val="0"/>
                      <w:divBdr>
                        <w:top w:val="none" w:sz="0" w:space="0" w:color="auto"/>
                        <w:left w:val="none" w:sz="0" w:space="0" w:color="auto"/>
                        <w:bottom w:val="none" w:sz="0" w:space="0" w:color="auto"/>
                        <w:right w:val="none" w:sz="0" w:space="0" w:color="auto"/>
                      </w:divBdr>
                      <w:divsChild>
                        <w:div w:id="566569852">
                          <w:marLeft w:val="0"/>
                          <w:marRight w:val="0"/>
                          <w:marTop w:val="0"/>
                          <w:marBottom w:val="0"/>
                          <w:divBdr>
                            <w:top w:val="none" w:sz="0" w:space="0" w:color="auto"/>
                            <w:left w:val="none" w:sz="0" w:space="0" w:color="auto"/>
                            <w:bottom w:val="none" w:sz="0" w:space="0" w:color="auto"/>
                            <w:right w:val="none" w:sz="0" w:space="0" w:color="auto"/>
                          </w:divBdr>
                          <w:divsChild>
                            <w:div w:id="2094163569">
                              <w:marLeft w:val="0"/>
                              <w:marRight w:val="0"/>
                              <w:marTop w:val="0"/>
                              <w:marBottom w:val="0"/>
                              <w:divBdr>
                                <w:top w:val="none" w:sz="0" w:space="0" w:color="auto"/>
                                <w:left w:val="none" w:sz="0" w:space="0" w:color="auto"/>
                                <w:bottom w:val="none" w:sz="0" w:space="0" w:color="auto"/>
                                <w:right w:val="none" w:sz="0" w:space="0" w:color="auto"/>
                              </w:divBdr>
                              <w:divsChild>
                                <w:div w:id="809321266">
                                  <w:marLeft w:val="0"/>
                                  <w:marRight w:val="0"/>
                                  <w:marTop w:val="0"/>
                                  <w:marBottom w:val="0"/>
                                  <w:divBdr>
                                    <w:top w:val="none" w:sz="0" w:space="0" w:color="auto"/>
                                    <w:left w:val="none" w:sz="0" w:space="0" w:color="auto"/>
                                    <w:bottom w:val="none" w:sz="0" w:space="0" w:color="auto"/>
                                    <w:right w:val="none" w:sz="0" w:space="0" w:color="auto"/>
                                  </w:divBdr>
                                  <w:divsChild>
                                    <w:div w:id="1464956187">
                                      <w:marLeft w:val="0"/>
                                      <w:marRight w:val="0"/>
                                      <w:marTop w:val="0"/>
                                      <w:marBottom w:val="0"/>
                                      <w:divBdr>
                                        <w:top w:val="none" w:sz="0" w:space="0" w:color="auto"/>
                                        <w:left w:val="none" w:sz="0" w:space="0" w:color="auto"/>
                                        <w:bottom w:val="none" w:sz="0" w:space="0" w:color="auto"/>
                                        <w:right w:val="none" w:sz="0" w:space="0" w:color="auto"/>
                                      </w:divBdr>
                                      <w:divsChild>
                                        <w:div w:id="336885387">
                                          <w:marLeft w:val="0"/>
                                          <w:marRight w:val="0"/>
                                          <w:marTop w:val="0"/>
                                          <w:marBottom w:val="0"/>
                                          <w:divBdr>
                                            <w:top w:val="none" w:sz="0" w:space="0" w:color="auto"/>
                                            <w:left w:val="none" w:sz="0" w:space="0" w:color="auto"/>
                                            <w:bottom w:val="none" w:sz="0" w:space="0" w:color="auto"/>
                                            <w:right w:val="none" w:sz="0" w:space="0" w:color="auto"/>
                                          </w:divBdr>
                                          <w:divsChild>
                                            <w:div w:id="1938751872">
                                              <w:marLeft w:val="0"/>
                                              <w:marRight w:val="0"/>
                                              <w:marTop w:val="0"/>
                                              <w:marBottom w:val="0"/>
                                              <w:divBdr>
                                                <w:top w:val="none" w:sz="0" w:space="0" w:color="auto"/>
                                                <w:left w:val="none" w:sz="0" w:space="0" w:color="auto"/>
                                                <w:bottom w:val="none" w:sz="0" w:space="0" w:color="auto"/>
                                                <w:right w:val="none" w:sz="0" w:space="0" w:color="auto"/>
                                              </w:divBdr>
                                              <w:divsChild>
                                                <w:div w:id="1667047953">
                                                  <w:marLeft w:val="0"/>
                                                  <w:marRight w:val="0"/>
                                                  <w:marTop w:val="0"/>
                                                  <w:marBottom w:val="0"/>
                                                  <w:divBdr>
                                                    <w:top w:val="none" w:sz="0" w:space="0" w:color="auto"/>
                                                    <w:left w:val="none" w:sz="0" w:space="0" w:color="auto"/>
                                                    <w:bottom w:val="none" w:sz="0" w:space="0" w:color="auto"/>
                                                    <w:right w:val="none" w:sz="0" w:space="0" w:color="auto"/>
                                                  </w:divBdr>
                                                  <w:divsChild>
                                                    <w:div w:id="1684741955">
                                                      <w:marLeft w:val="0"/>
                                                      <w:marRight w:val="0"/>
                                                      <w:marTop w:val="0"/>
                                                      <w:marBottom w:val="0"/>
                                                      <w:divBdr>
                                                        <w:top w:val="none" w:sz="0" w:space="0" w:color="auto"/>
                                                        <w:left w:val="none" w:sz="0" w:space="0" w:color="auto"/>
                                                        <w:bottom w:val="none" w:sz="0" w:space="0" w:color="auto"/>
                                                        <w:right w:val="none" w:sz="0" w:space="0" w:color="auto"/>
                                                      </w:divBdr>
                                                      <w:divsChild>
                                                        <w:div w:id="19153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BIS</cp:lastModifiedBy>
  <cp:revision>2</cp:revision>
  <dcterms:created xsi:type="dcterms:W3CDTF">2025-01-17T10:42:00Z</dcterms:created>
  <dcterms:modified xsi:type="dcterms:W3CDTF">2025-01-17T10:42:00Z</dcterms:modified>
</cp:coreProperties>
</file>